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关于南银理财鼎瑞行稳一年定开2024第</w:t>
      </w:r>
      <w:r>
        <w:rPr>
          <w:rFonts w:hint="eastAsia" w:ascii="方正黑体_GBK" w:hAnsi="方正黑体_GBK" w:eastAsia="方正黑体_GBK" w:cs="方正黑体_GBK"/>
          <w:sz w:val="30"/>
          <w:szCs w:val="30"/>
          <w:lang w:val="en-US" w:eastAsia="zh-CN"/>
        </w:rPr>
        <w:t>4</w:t>
      </w:r>
      <w:r>
        <w:rPr>
          <w:rFonts w:hint="eastAsia" w:ascii="方正黑体_GBK" w:hAnsi="方正黑体_GBK" w:eastAsia="方正黑体_GBK" w:cs="方正黑体_GBK"/>
          <w:sz w:val="30"/>
          <w:szCs w:val="30"/>
        </w:rPr>
        <w:t>期公募人民币理财产品部分要素调整的公告</w:t>
      </w:r>
    </w:p>
    <w:p>
      <w:pPr>
        <w:adjustRightInd w:val="0"/>
        <w:spacing w:line="360" w:lineRule="auto"/>
        <w:ind w:firstLine="480" w:firstLineChars="200"/>
        <w:rPr>
          <w:rFonts w:hint="eastAsia" w:ascii="方正黑体_GBK" w:hAnsi="方正黑体_GBK" w:eastAsia="方正黑体_GBK" w:cs="方正黑体_GBK"/>
          <w:sz w:val="24"/>
        </w:rPr>
      </w:pPr>
      <w:r>
        <w:rPr>
          <w:rFonts w:hint="eastAsia" w:ascii="方正黑体_GBK" w:hAnsi="方正黑体_GBK" w:eastAsia="方正黑体_GBK" w:cs="方正黑体_GBK"/>
          <w:sz w:val="24"/>
        </w:rPr>
        <w:t>尊敬的投资者：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方正黑体_GBK" w:hAnsi="方正黑体_GBK" w:eastAsia="方正黑体_GBK" w:cs="方正黑体_GBK"/>
          <w:color w:val="000000"/>
          <w:sz w:val="24"/>
        </w:rPr>
      </w:pPr>
      <w:r>
        <w:rPr>
          <w:rFonts w:hint="eastAsia" w:ascii="方正黑体_GBK" w:hAnsi="方正黑体_GBK" w:eastAsia="方正黑体_GBK" w:cs="方正黑体_GBK"/>
          <w:color w:val="000000"/>
          <w:sz w:val="24"/>
        </w:rPr>
        <w:t>根据产品实际投资运作及市场变化情况，并结合产品说明书的相关约定，管理人将对南银理财鼎瑞行稳一年定开2024第</w:t>
      </w:r>
      <w:r>
        <w:rPr>
          <w:rFonts w:hint="eastAsia" w:ascii="方正黑体_GBK" w:hAnsi="方正黑体_GBK" w:eastAsia="方正黑体_GBK" w:cs="方正黑体_GBK"/>
          <w:color w:val="000000"/>
          <w:sz w:val="24"/>
          <w:lang w:val="en-US" w:eastAsia="zh-CN"/>
        </w:rPr>
        <w:t>4</w:t>
      </w:r>
      <w:r>
        <w:rPr>
          <w:rFonts w:hint="eastAsia" w:ascii="方正黑体_GBK" w:hAnsi="方正黑体_GBK" w:eastAsia="方正黑体_GBK" w:cs="方正黑体_GBK"/>
          <w:color w:val="000000"/>
          <w:sz w:val="24"/>
        </w:rPr>
        <w:t>期公募人民币理财产品（产品登记编码：</w:t>
      </w:r>
      <w:r>
        <w:rPr>
          <w:rFonts w:hint="eastAsia" w:ascii="方正黑体_GBK" w:hAnsi="方正黑体_GBK" w:eastAsia="方正黑体_GBK" w:cs="方正黑体_GBK"/>
          <w:sz w:val="24"/>
          <w:lang w:val="en-US" w:eastAsia="zh-CN"/>
        </w:rPr>
        <w:t>Z7003224000184</w:t>
      </w:r>
      <w:r>
        <w:rPr>
          <w:rFonts w:hint="eastAsia" w:ascii="方正黑体_GBK" w:hAnsi="方正黑体_GBK" w:eastAsia="方正黑体_GBK" w:cs="方正黑体_GBK"/>
          <w:sz w:val="24"/>
        </w:rPr>
        <w:t>；产品代码：</w:t>
      </w:r>
      <w:r>
        <w:rPr>
          <w:rFonts w:hint="eastAsia" w:ascii="方正黑体_GBK" w:hAnsi="方正黑体_GBK" w:eastAsia="方正黑体_GBK" w:cs="方正黑体_GBK"/>
          <w:sz w:val="24"/>
          <w:lang w:val="en-US" w:eastAsia="zh-CN"/>
        </w:rPr>
        <w:t>ZZ700322400388</w:t>
      </w:r>
      <w:r>
        <w:rPr>
          <w:rFonts w:hint="eastAsia" w:ascii="方正黑体_GBK" w:hAnsi="方正黑体_GBK" w:eastAsia="方正黑体_GBK" w:cs="方正黑体_GBK"/>
          <w:color w:val="000000"/>
          <w:sz w:val="24"/>
        </w:rPr>
        <w:t>）部分要素进行调整，具体内容如下：</w:t>
      </w:r>
    </w:p>
    <w:tbl>
      <w:tblPr>
        <w:tblStyle w:val="3"/>
        <w:tblW w:w="50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36"/>
        <w:gridCol w:w="1148"/>
        <w:gridCol w:w="2649"/>
        <w:gridCol w:w="2366"/>
        <w:gridCol w:w="1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0" w:type="pct"/>
            <w:vAlign w:val="center"/>
          </w:tcPr>
          <w:p>
            <w:pPr>
              <w:autoSpaceDE w:val="0"/>
              <w:autoSpaceDN w:val="0"/>
              <w:adjustRightInd w:val="0"/>
              <w:spacing w:line="360" w:lineRule="auto"/>
              <w:jc w:val="center"/>
              <w:rPr>
                <w:rFonts w:hint="eastAsia" w:ascii="方正黑体_GBK" w:hAnsi="方正黑体_GBK" w:eastAsia="方正黑体_GBK" w:cs="方正黑体_GBK"/>
                <w:b/>
                <w:bCs/>
                <w:sz w:val="22"/>
              </w:rPr>
            </w:pPr>
            <w:r>
              <w:rPr>
                <w:rFonts w:hint="eastAsia" w:ascii="方正黑体_GBK" w:hAnsi="方正黑体_GBK" w:eastAsia="方正黑体_GBK" w:cs="方正黑体_GBK"/>
                <w:b/>
                <w:bCs/>
                <w:sz w:val="22"/>
              </w:rPr>
              <w:t>份额代码</w:t>
            </w:r>
          </w:p>
        </w:tc>
        <w:tc>
          <w:tcPr>
            <w:tcW w:w="686" w:type="pct"/>
            <w:vAlign w:val="center"/>
          </w:tcPr>
          <w:p>
            <w:pPr>
              <w:autoSpaceDE w:val="0"/>
              <w:autoSpaceDN w:val="0"/>
              <w:adjustRightInd w:val="0"/>
              <w:spacing w:line="360" w:lineRule="auto"/>
              <w:jc w:val="center"/>
              <w:rPr>
                <w:rFonts w:hint="eastAsia" w:ascii="方正黑体_GBK" w:hAnsi="方正黑体_GBK" w:eastAsia="方正黑体_GBK" w:cs="方正黑体_GBK"/>
                <w:b/>
                <w:bCs/>
                <w:sz w:val="22"/>
              </w:rPr>
            </w:pPr>
            <w:r>
              <w:rPr>
                <w:rFonts w:hint="eastAsia" w:ascii="方正黑体_GBK" w:hAnsi="方正黑体_GBK" w:eastAsia="方正黑体_GBK" w:cs="方正黑体_GBK"/>
                <w:b/>
                <w:bCs/>
                <w:sz w:val="22"/>
              </w:rPr>
              <w:t>调整的要素</w:t>
            </w:r>
          </w:p>
        </w:tc>
        <w:tc>
          <w:tcPr>
            <w:tcW w:w="1583" w:type="pct"/>
            <w:vAlign w:val="center"/>
          </w:tcPr>
          <w:p>
            <w:pPr>
              <w:autoSpaceDE w:val="0"/>
              <w:autoSpaceDN w:val="0"/>
              <w:adjustRightInd w:val="0"/>
              <w:spacing w:line="360" w:lineRule="auto"/>
              <w:jc w:val="center"/>
              <w:rPr>
                <w:rFonts w:hint="eastAsia" w:ascii="方正黑体_GBK" w:hAnsi="方正黑体_GBK" w:eastAsia="方正黑体_GBK" w:cs="方正黑体_GBK"/>
                <w:b/>
                <w:bCs/>
                <w:sz w:val="22"/>
              </w:rPr>
            </w:pPr>
            <w:r>
              <w:rPr>
                <w:rFonts w:hint="eastAsia" w:ascii="方正黑体_GBK" w:hAnsi="方正黑体_GBK" w:eastAsia="方正黑体_GBK" w:cs="方正黑体_GBK"/>
                <w:b/>
                <w:bCs/>
                <w:sz w:val="22"/>
              </w:rPr>
              <w:t>调整前</w:t>
            </w:r>
          </w:p>
        </w:tc>
        <w:tc>
          <w:tcPr>
            <w:tcW w:w="1414" w:type="pct"/>
            <w:vAlign w:val="center"/>
          </w:tcPr>
          <w:p>
            <w:pPr>
              <w:autoSpaceDE w:val="0"/>
              <w:autoSpaceDN w:val="0"/>
              <w:adjustRightInd w:val="0"/>
              <w:spacing w:line="360" w:lineRule="auto"/>
              <w:jc w:val="center"/>
              <w:rPr>
                <w:rFonts w:hint="eastAsia" w:ascii="方正黑体_GBK" w:hAnsi="方正黑体_GBK" w:eastAsia="方正黑体_GBK" w:cs="方正黑体_GBK"/>
                <w:b/>
                <w:bCs/>
                <w:sz w:val="22"/>
              </w:rPr>
            </w:pPr>
            <w:r>
              <w:rPr>
                <w:rFonts w:hint="eastAsia" w:ascii="方正黑体_GBK" w:hAnsi="方正黑体_GBK" w:eastAsia="方正黑体_GBK" w:cs="方正黑体_GBK"/>
                <w:b/>
                <w:bCs/>
                <w:sz w:val="22"/>
              </w:rPr>
              <w:t>调整后</w:t>
            </w:r>
          </w:p>
        </w:tc>
        <w:tc>
          <w:tcPr>
            <w:tcW w:w="754" w:type="pct"/>
            <w:vAlign w:val="center"/>
          </w:tcPr>
          <w:p>
            <w:pPr>
              <w:autoSpaceDE w:val="0"/>
              <w:autoSpaceDN w:val="0"/>
              <w:adjustRightInd w:val="0"/>
              <w:spacing w:line="360" w:lineRule="auto"/>
              <w:jc w:val="center"/>
              <w:rPr>
                <w:rFonts w:hint="eastAsia" w:ascii="方正黑体_GBK" w:hAnsi="方正黑体_GBK" w:eastAsia="方正黑体_GBK" w:cs="方正黑体_GBK"/>
                <w:b/>
                <w:bCs/>
                <w:sz w:val="22"/>
              </w:rPr>
            </w:pPr>
            <w:r>
              <w:rPr>
                <w:rFonts w:hint="eastAsia" w:ascii="方正黑体_GBK" w:hAnsi="方正黑体_GBK" w:eastAsia="方正黑体_GBK" w:cs="方正黑体_GBK"/>
                <w:b/>
                <w:bCs/>
                <w:sz w:val="22"/>
              </w:rPr>
              <w:t>生效日期</w:t>
            </w:r>
          </w:p>
          <w:p>
            <w:pPr>
              <w:autoSpaceDE w:val="0"/>
              <w:autoSpaceDN w:val="0"/>
              <w:adjustRightInd w:val="0"/>
              <w:spacing w:line="360" w:lineRule="auto"/>
              <w:jc w:val="center"/>
              <w:rPr>
                <w:rFonts w:hint="eastAsia" w:ascii="方正黑体_GBK" w:hAnsi="方正黑体_GBK" w:eastAsia="方正黑体_GBK" w:cs="方正黑体_GBK"/>
                <w:b/>
                <w:bCs/>
                <w:sz w:val="22"/>
              </w:rPr>
            </w:pPr>
            <w:r>
              <w:rPr>
                <w:rFonts w:hint="eastAsia" w:ascii="方正黑体_GBK" w:hAnsi="方正黑体_GBK" w:eastAsia="方正黑体_GBK" w:cs="方正黑体_GBK"/>
                <w:b/>
                <w:bCs/>
                <w:sz w:val="22"/>
              </w:rPr>
              <w:t>（含）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0" w:type="pct"/>
            <w:vAlign w:val="center"/>
          </w:tcPr>
          <w:p>
            <w:pPr>
              <w:spacing w:beforeLines="0" w:afterLines="0"/>
              <w:jc w:val="center"/>
              <w:rPr>
                <w:rFonts w:hint="default" w:ascii="方正黑体_GBK" w:hAnsi="方正黑体_GBK" w:eastAsia="方正黑体_GBK" w:cs="方正黑体_GBK"/>
                <w:kern w:val="2"/>
                <w:sz w:val="21"/>
                <w:szCs w:val="21"/>
                <w:lang w:val="en-US" w:eastAsia="zh-CN" w:bidi="ar-SA"/>
              </w:rPr>
            </w:pPr>
            <w:bookmarkStart w:id="0" w:name="_GoBack" w:colFirst="2" w:colLast="3"/>
            <w:r>
              <w:rPr>
                <w:rFonts w:hint="eastAsia" w:ascii="方正黑体_GBK" w:hAnsi="方正黑体_GBK" w:eastAsia="方正黑体_GBK" w:cs="方正黑体_GBK"/>
                <w:sz w:val="21"/>
                <w:szCs w:val="21"/>
              </w:rPr>
              <w:t>Z100</w:t>
            </w:r>
            <w:r>
              <w:rPr>
                <w:rFonts w:hint="eastAsia" w:ascii="方正黑体_GBK" w:hAnsi="方正黑体_GBK" w:eastAsia="方正黑体_GBK" w:cs="方正黑体_GBK"/>
                <w:sz w:val="21"/>
                <w:szCs w:val="21"/>
                <w:lang w:val="en-US" w:eastAsia="zh-CN"/>
              </w:rPr>
              <w:t>40</w:t>
            </w:r>
          </w:p>
        </w:tc>
        <w:tc>
          <w:tcPr>
            <w:tcW w:w="686" w:type="pct"/>
            <w:vAlign w:val="center"/>
          </w:tcPr>
          <w:p>
            <w:pPr>
              <w:spacing w:beforeLines="0" w:afterLines="0"/>
              <w:jc w:val="center"/>
              <w:rPr>
                <w:rFonts w:hint="eastAsia" w:ascii="方正黑体_GBK" w:hAnsi="方正黑体_GBK" w:eastAsia="方正黑体_GBK" w:cs="方正黑体_GBK"/>
                <w:kern w:val="2"/>
                <w:sz w:val="21"/>
                <w:szCs w:val="21"/>
                <w:lang w:val="en-US" w:eastAsia="zh-CN" w:bidi="ar-SA"/>
              </w:rPr>
            </w:pPr>
            <w:r>
              <w:rPr>
                <w:rFonts w:hint="eastAsia" w:ascii="方正黑体_GBK" w:hAnsi="方正黑体_GBK" w:eastAsia="方正黑体_GBK" w:cs="方正黑体_GBK"/>
                <w:sz w:val="21"/>
                <w:szCs w:val="21"/>
              </w:rPr>
              <w:t>投资范围</w:t>
            </w:r>
          </w:p>
        </w:tc>
        <w:tc>
          <w:tcPr>
            <w:tcW w:w="1583" w:type="pct"/>
            <w:vAlign w:val="center"/>
          </w:tcPr>
          <w:p>
            <w:pPr>
              <w:pStyle w:val="2"/>
              <w:keepNext w:val="0"/>
              <w:keepLines w:val="0"/>
              <w:pageBreakBefore w:val="0"/>
              <w:widowControl/>
              <w:suppressLineNumbers w:val="0"/>
              <w:shd w:val="clear" w:fill="FAFAFA"/>
              <w:kinsoku/>
              <w:wordWrap/>
              <w:overflowPunct/>
              <w:topLinePunct w:val="0"/>
              <w:autoSpaceDE/>
              <w:bidi w:val="0"/>
              <w:adjustRightInd/>
              <w:snapToGrid/>
              <w:spacing w:before="0" w:beforeAutospacing="0" w:after="0" w:afterAutospacing="0" w:line="240" w:lineRule="auto"/>
              <w:ind w:left="0" w:firstLine="0"/>
              <w:jc w:val="left"/>
              <w:textAlignment w:val="auto"/>
              <w:rPr>
                <w:rFonts w:hint="eastAsia" w:ascii="方正黑体_GBK" w:hAnsi="方正黑体_GBK" w:eastAsia="方正黑体_GBK" w:cs="宋体"/>
                <w:color w:val="auto"/>
                <w:kern w:val="2"/>
                <w:sz w:val="21"/>
                <w:szCs w:val="21"/>
                <w:lang w:val="en-US" w:eastAsia="zh-CN" w:bidi="ar"/>
              </w:rPr>
            </w:pPr>
            <w:r>
              <w:rPr>
                <w:rFonts w:hint="eastAsia" w:ascii="方正黑体_GBK" w:hAnsi="方正黑体_GBK" w:eastAsia="方正黑体_GBK" w:cs="宋体"/>
                <w:color w:val="auto"/>
                <w:kern w:val="2"/>
                <w:sz w:val="21"/>
                <w:szCs w:val="21"/>
                <w:lang w:val="en-US" w:eastAsia="zh-CN" w:bidi="ar"/>
              </w:rPr>
              <w:t>本理财产品募集的资金投资于以下金融资产和金融工具，包括但不限于：</w:t>
            </w:r>
          </w:p>
          <w:p>
            <w:pPr>
              <w:pStyle w:val="2"/>
              <w:keepNext w:val="0"/>
              <w:keepLines w:val="0"/>
              <w:pageBreakBefore w:val="0"/>
              <w:widowControl/>
              <w:suppressLineNumbers w:val="0"/>
              <w:shd w:val="clear" w:fill="FAFAFA"/>
              <w:kinsoku/>
              <w:wordWrap/>
              <w:overflowPunct/>
              <w:topLinePunct w:val="0"/>
              <w:autoSpaceDE/>
              <w:bidi w:val="0"/>
              <w:adjustRightInd/>
              <w:snapToGrid/>
              <w:spacing w:before="0" w:beforeAutospacing="0" w:after="0" w:afterAutospacing="0" w:line="240" w:lineRule="auto"/>
              <w:ind w:left="0" w:firstLine="0"/>
              <w:jc w:val="left"/>
              <w:textAlignment w:val="auto"/>
              <w:rPr>
                <w:rFonts w:hint="default" w:ascii="方正黑体_GBK" w:hAnsi="方正黑体_GBK" w:eastAsia="方正黑体_GBK" w:cs="宋体"/>
                <w:color w:val="auto"/>
                <w:kern w:val="2"/>
                <w:sz w:val="21"/>
                <w:szCs w:val="21"/>
                <w:lang w:val="en-US" w:eastAsia="zh-CN" w:bidi="ar"/>
              </w:rPr>
            </w:pPr>
            <w:r>
              <w:rPr>
                <w:rFonts w:hint="eastAsia" w:ascii="方正黑体_GBK" w:hAnsi="方正黑体_GBK" w:eastAsia="方正黑体_GBK" w:cs="宋体"/>
                <w:color w:val="auto"/>
                <w:kern w:val="2"/>
                <w:sz w:val="21"/>
                <w:szCs w:val="21"/>
                <w:lang w:val="en-US" w:eastAsia="zh-CN" w:bidi="ar"/>
              </w:rPr>
              <w:t>1.现金、银行存款、银行承兑汇票、同业存款、大额存单、同业存单、债券回购、货币基金等货币市场工具；</w:t>
            </w:r>
          </w:p>
          <w:p>
            <w:pPr>
              <w:pStyle w:val="2"/>
              <w:keepNext w:val="0"/>
              <w:keepLines w:val="0"/>
              <w:pageBreakBefore w:val="0"/>
              <w:widowControl/>
              <w:suppressLineNumbers w:val="0"/>
              <w:shd w:val="clear" w:fill="FAFAFA"/>
              <w:kinsoku/>
              <w:wordWrap/>
              <w:overflowPunct/>
              <w:topLinePunct w:val="0"/>
              <w:autoSpaceDE/>
              <w:bidi w:val="0"/>
              <w:adjustRightInd/>
              <w:snapToGrid/>
              <w:spacing w:before="0" w:beforeAutospacing="0" w:after="0" w:afterAutospacing="0" w:line="240" w:lineRule="auto"/>
              <w:ind w:left="0" w:firstLine="0"/>
              <w:jc w:val="left"/>
              <w:textAlignment w:val="auto"/>
              <w:rPr>
                <w:rFonts w:hint="default" w:ascii="方正黑体_GBK" w:hAnsi="方正黑体_GBK" w:eastAsia="方正黑体_GBK" w:cs="宋体"/>
                <w:color w:val="auto"/>
                <w:kern w:val="2"/>
                <w:sz w:val="21"/>
                <w:szCs w:val="21"/>
                <w:lang w:val="en-US" w:eastAsia="zh-CN" w:bidi="ar"/>
              </w:rPr>
            </w:pPr>
            <w:r>
              <w:rPr>
                <w:rFonts w:hint="eastAsia" w:ascii="方正黑体_GBK" w:hAnsi="方正黑体_GBK" w:eastAsia="方正黑体_GBK" w:cs="宋体"/>
                <w:color w:val="auto"/>
                <w:kern w:val="2"/>
                <w:sz w:val="21"/>
                <w:szCs w:val="21"/>
                <w:lang w:val="en-US" w:eastAsia="zh-CN" w:bidi="ar"/>
              </w:rPr>
              <w:t>2.国债、央票、企业债、金融债、政策性金融债、次级债、二级资本债、永续债、资产支持证券、资产支持票据、地方政府债、中期票据、超短期融资券、短期融资券、公司债、可转债、可交债、非公开定向债务融资工具(PPN)、公募债券型证券投资基金等标准化债权类资产；</w:t>
            </w:r>
          </w:p>
          <w:p>
            <w:pPr>
              <w:pStyle w:val="2"/>
              <w:keepNext w:val="0"/>
              <w:keepLines w:val="0"/>
              <w:pageBreakBefore w:val="0"/>
              <w:widowControl/>
              <w:suppressLineNumbers w:val="0"/>
              <w:shd w:val="clear" w:fill="FAFAFA"/>
              <w:kinsoku/>
              <w:wordWrap/>
              <w:overflowPunct/>
              <w:topLinePunct w:val="0"/>
              <w:autoSpaceDE/>
              <w:bidi w:val="0"/>
              <w:adjustRightInd/>
              <w:snapToGrid/>
              <w:spacing w:before="0" w:beforeAutospacing="0" w:after="0" w:afterAutospacing="0" w:line="240" w:lineRule="auto"/>
              <w:ind w:left="0" w:firstLine="0"/>
              <w:jc w:val="left"/>
              <w:textAlignment w:val="auto"/>
              <w:rPr>
                <w:rFonts w:hint="default" w:ascii="方正黑体_GBK" w:hAnsi="方正黑体_GBK" w:eastAsia="方正黑体_GBK" w:cs="宋体"/>
                <w:color w:val="auto"/>
                <w:kern w:val="2"/>
                <w:sz w:val="21"/>
                <w:szCs w:val="21"/>
                <w:lang w:val="en-US" w:eastAsia="zh-CN" w:bidi="ar"/>
              </w:rPr>
            </w:pPr>
            <w:r>
              <w:rPr>
                <w:rFonts w:hint="eastAsia" w:ascii="方正黑体_GBK" w:hAnsi="方正黑体_GBK" w:eastAsia="方正黑体_GBK" w:cs="宋体"/>
                <w:color w:val="auto"/>
                <w:kern w:val="2"/>
                <w:sz w:val="21"/>
                <w:szCs w:val="21"/>
                <w:lang w:val="en-US" w:eastAsia="zh-CN" w:bidi="ar"/>
              </w:rPr>
              <w:t>3.信托贷款、收受益权、应收账款、债权融资类产品、同业借款、收益凭证、债权投资计划和资产支持计划、信贷资产流转和收益权转让产品、场内股票质押回购、场外股票质押融资等资产，以及符合监管要求的其他非标准化债权类资产；</w:t>
            </w:r>
          </w:p>
          <w:p>
            <w:pPr>
              <w:pStyle w:val="2"/>
              <w:keepNext w:val="0"/>
              <w:keepLines w:val="0"/>
              <w:pageBreakBefore w:val="0"/>
              <w:widowControl/>
              <w:suppressLineNumbers w:val="0"/>
              <w:shd w:val="clear" w:fill="FAFAFA"/>
              <w:kinsoku/>
              <w:wordWrap/>
              <w:overflowPunct/>
              <w:topLinePunct w:val="0"/>
              <w:autoSpaceDE/>
              <w:bidi w:val="0"/>
              <w:adjustRightInd/>
              <w:snapToGrid/>
              <w:spacing w:before="0" w:beforeAutospacing="0" w:after="0" w:afterAutospacing="0" w:line="240" w:lineRule="auto"/>
              <w:ind w:left="0" w:firstLine="0"/>
              <w:jc w:val="left"/>
              <w:textAlignment w:val="auto"/>
              <w:rPr>
                <w:rFonts w:hint="default" w:ascii="方正黑体_GBK" w:hAnsi="方正黑体_GBK" w:eastAsia="方正黑体_GBK" w:cs="宋体"/>
                <w:color w:val="auto"/>
                <w:kern w:val="2"/>
                <w:sz w:val="21"/>
                <w:szCs w:val="21"/>
                <w:lang w:val="en-US" w:eastAsia="zh-CN" w:bidi="ar"/>
              </w:rPr>
            </w:pPr>
            <w:r>
              <w:rPr>
                <w:rFonts w:hint="eastAsia" w:ascii="方正黑体_GBK" w:hAnsi="方正黑体_GBK" w:eastAsia="方正黑体_GBK" w:cs="宋体"/>
                <w:color w:val="auto"/>
                <w:kern w:val="2"/>
                <w:sz w:val="21"/>
                <w:szCs w:val="21"/>
                <w:lang w:val="en-US" w:eastAsia="zh-CN" w:bidi="ar"/>
              </w:rPr>
              <w:t>4.公开募集基础设施证券投资基金等符合监管要求的公募证券投资基金；</w:t>
            </w:r>
          </w:p>
          <w:p>
            <w:pPr>
              <w:pStyle w:val="2"/>
              <w:keepNext w:val="0"/>
              <w:keepLines w:val="0"/>
              <w:pageBreakBefore w:val="0"/>
              <w:widowControl/>
              <w:suppressLineNumbers w:val="0"/>
              <w:shd w:val="clear" w:fill="FAFAFA"/>
              <w:kinsoku/>
              <w:wordWrap/>
              <w:overflowPunct/>
              <w:topLinePunct w:val="0"/>
              <w:autoSpaceDE/>
              <w:bidi w:val="0"/>
              <w:adjustRightInd/>
              <w:snapToGrid/>
              <w:spacing w:before="0" w:beforeAutospacing="0" w:after="0" w:afterAutospacing="0" w:line="240" w:lineRule="auto"/>
              <w:ind w:left="0" w:firstLine="0"/>
              <w:jc w:val="left"/>
              <w:textAlignment w:val="auto"/>
              <w:rPr>
                <w:rFonts w:hint="default" w:ascii="方正黑体_GBK" w:hAnsi="方正黑体_GBK" w:eastAsia="方正黑体_GBK" w:cs="宋体"/>
                <w:color w:val="auto"/>
                <w:kern w:val="2"/>
                <w:sz w:val="21"/>
                <w:szCs w:val="21"/>
                <w:lang w:val="en-US" w:eastAsia="zh-CN" w:bidi="ar"/>
              </w:rPr>
            </w:pPr>
            <w:r>
              <w:rPr>
                <w:rFonts w:hint="eastAsia" w:ascii="方正黑体_GBK" w:hAnsi="方正黑体_GBK" w:eastAsia="方正黑体_GBK" w:cs="宋体"/>
                <w:color w:val="auto"/>
                <w:kern w:val="2"/>
                <w:sz w:val="21"/>
                <w:szCs w:val="21"/>
                <w:lang w:val="en-US" w:eastAsia="zh-CN" w:bidi="ar"/>
              </w:rPr>
              <w:t>5.投资范围为上述资产的信托计划、资产管理计划等资产管理产品；</w:t>
            </w:r>
          </w:p>
          <w:p>
            <w:pPr>
              <w:pStyle w:val="2"/>
              <w:keepNext w:val="0"/>
              <w:keepLines w:val="0"/>
              <w:pageBreakBefore w:val="0"/>
              <w:widowControl/>
              <w:suppressLineNumbers w:val="0"/>
              <w:shd w:val="clear" w:fill="FAFAFA"/>
              <w:kinsoku/>
              <w:wordWrap/>
              <w:overflowPunct/>
              <w:topLinePunct w:val="0"/>
              <w:autoSpaceDE/>
              <w:bidi w:val="0"/>
              <w:adjustRightInd/>
              <w:snapToGrid/>
              <w:spacing w:before="0" w:beforeAutospacing="0" w:after="0" w:afterAutospacing="0" w:line="240" w:lineRule="auto"/>
              <w:ind w:left="0" w:firstLine="0"/>
              <w:jc w:val="left"/>
              <w:textAlignment w:val="auto"/>
              <w:rPr>
                <w:rFonts w:hint="default" w:ascii="方正黑体_GBK" w:hAnsi="方正黑体_GBK" w:eastAsia="方正黑体_GBK" w:cs="宋体"/>
                <w:color w:val="auto"/>
                <w:kern w:val="2"/>
                <w:sz w:val="21"/>
                <w:szCs w:val="21"/>
                <w:lang w:val="en-US" w:eastAsia="zh-CN" w:bidi="ar"/>
              </w:rPr>
            </w:pPr>
            <w:r>
              <w:rPr>
                <w:rFonts w:hint="eastAsia" w:ascii="方正黑体_GBK" w:hAnsi="方正黑体_GBK" w:eastAsia="方正黑体_GBK" w:cs="宋体"/>
                <w:color w:val="auto"/>
                <w:kern w:val="2"/>
                <w:sz w:val="21"/>
                <w:szCs w:val="21"/>
                <w:lang w:val="en-US" w:eastAsia="zh-CN" w:bidi="ar"/>
              </w:rPr>
              <w:t>6.法律法规或监管机构允许投资的符合本理财产品投资性质的其他金融工具；</w:t>
            </w:r>
          </w:p>
          <w:p>
            <w:pPr>
              <w:pStyle w:val="2"/>
              <w:keepNext w:val="0"/>
              <w:keepLines w:val="0"/>
              <w:pageBreakBefore w:val="0"/>
              <w:widowControl/>
              <w:suppressLineNumbers w:val="0"/>
              <w:shd w:val="clear" w:fill="FAFAFA"/>
              <w:kinsoku/>
              <w:wordWrap/>
              <w:overflowPunct/>
              <w:topLinePunct w:val="0"/>
              <w:autoSpaceDE/>
              <w:bidi w:val="0"/>
              <w:adjustRightInd/>
              <w:snapToGrid/>
              <w:spacing w:before="0" w:beforeAutospacing="0" w:after="0" w:afterAutospacing="0" w:line="240" w:lineRule="auto"/>
              <w:ind w:left="0" w:firstLine="0"/>
              <w:jc w:val="left"/>
              <w:textAlignment w:val="auto"/>
              <w:rPr>
                <w:rFonts w:hint="eastAsia" w:ascii="方正黑体_GBK" w:hAnsi="方正黑体_GBK" w:eastAsia="方正黑体_GBK" w:cs="宋体"/>
                <w:color w:val="auto"/>
                <w:kern w:val="2"/>
                <w:sz w:val="21"/>
                <w:szCs w:val="21"/>
                <w:lang w:val="en-US" w:eastAsia="zh-CN" w:bidi="ar"/>
              </w:rPr>
            </w:pPr>
            <w:r>
              <w:rPr>
                <w:rFonts w:hint="eastAsia" w:ascii="方正黑体_GBK" w:hAnsi="方正黑体_GBK" w:eastAsia="方正黑体_GBK" w:cs="宋体"/>
                <w:color w:val="auto"/>
                <w:kern w:val="2"/>
                <w:sz w:val="21"/>
                <w:szCs w:val="21"/>
                <w:lang w:val="en-US" w:eastAsia="zh-CN" w:bidi="ar"/>
              </w:rPr>
              <w:t>7.如存在法律法规或监管机构以后允许投资的其他品种或法律法规或监管政策出现调整，管理人在履行本理财产品销售文件规定的适当程序后，有权调整以上品种。</w:t>
            </w:r>
          </w:p>
        </w:tc>
        <w:tc>
          <w:tcPr>
            <w:tcW w:w="1414" w:type="pct"/>
            <w:vAlign w:val="center"/>
          </w:tcPr>
          <w:p>
            <w:pPr>
              <w:keepNext w:val="0"/>
              <w:keepLines w:val="0"/>
              <w:pageBreakBefore w:val="0"/>
              <w:kinsoku/>
              <w:wordWrap/>
              <w:overflowPunct/>
              <w:topLinePunct w:val="0"/>
              <w:autoSpaceDE/>
              <w:autoSpaceDN w:val="0"/>
              <w:bidi w:val="0"/>
              <w:adjustRightInd/>
              <w:snapToGrid/>
              <w:spacing w:line="240" w:lineRule="auto"/>
              <w:textAlignment w:val="auto"/>
              <w:rPr>
                <w:rFonts w:hint="default"/>
                <w:sz w:val="21"/>
                <w:szCs w:val="24"/>
              </w:rPr>
            </w:pPr>
            <w:r>
              <w:rPr>
                <w:rFonts w:hint="eastAsia" w:ascii="方正黑体_GBK" w:hAnsi="方正黑体_GBK" w:eastAsia="方正黑体_GBK" w:cs="宋体"/>
                <w:color w:val="auto"/>
                <w:sz w:val="21"/>
                <w:szCs w:val="21"/>
                <w:lang w:bidi="ar"/>
              </w:rPr>
              <w:t>本理财产品募集的资金投资于以下金融资产和金融工具，包括但不限于：</w:t>
            </w:r>
          </w:p>
          <w:p>
            <w:pPr>
              <w:keepNext w:val="0"/>
              <w:keepLines w:val="0"/>
              <w:pageBreakBefore w:val="0"/>
              <w:kinsoku/>
              <w:wordWrap/>
              <w:overflowPunct/>
              <w:topLinePunct w:val="0"/>
              <w:autoSpaceDE/>
              <w:autoSpaceDN w:val="0"/>
              <w:bidi w:val="0"/>
              <w:adjustRightInd/>
              <w:snapToGrid/>
              <w:spacing w:line="240" w:lineRule="auto"/>
              <w:textAlignment w:val="auto"/>
              <w:rPr>
                <w:rFonts w:hint="default"/>
                <w:sz w:val="21"/>
                <w:szCs w:val="24"/>
              </w:rPr>
            </w:pPr>
            <w:r>
              <w:rPr>
                <w:rFonts w:hint="eastAsia" w:ascii="方正黑体_GBK" w:hAnsi="方正黑体_GBK" w:eastAsia="方正黑体_GBK" w:cs="宋体"/>
                <w:color w:val="auto"/>
                <w:sz w:val="21"/>
                <w:szCs w:val="21"/>
                <w:lang w:bidi="ar"/>
              </w:rPr>
              <w:t>1.现金、银行存款、银行承兑汇票、同业存款、大额存单、同业存单、债券回购、货币基金等货币市场工具；</w:t>
            </w:r>
          </w:p>
          <w:p>
            <w:pPr>
              <w:keepNext w:val="0"/>
              <w:keepLines w:val="0"/>
              <w:pageBreakBefore w:val="0"/>
              <w:kinsoku/>
              <w:wordWrap/>
              <w:overflowPunct/>
              <w:topLinePunct w:val="0"/>
              <w:autoSpaceDE/>
              <w:autoSpaceDN w:val="0"/>
              <w:bidi w:val="0"/>
              <w:adjustRightInd/>
              <w:snapToGrid/>
              <w:spacing w:line="240" w:lineRule="auto"/>
              <w:textAlignment w:val="auto"/>
              <w:rPr>
                <w:rFonts w:hint="default"/>
                <w:sz w:val="21"/>
                <w:szCs w:val="24"/>
              </w:rPr>
            </w:pPr>
            <w:r>
              <w:rPr>
                <w:rFonts w:hint="eastAsia" w:ascii="方正黑体_GBK" w:hAnsi="方正黑体_GBK" w:eastAsia="方正黑体_GBK" w:cs="宋体"/>
                <w:color w:val="auto"/>
                <w:sz w:val="21"/>
                <w:szCs w:val="21"/>
                <w:lang w:bidi="ar"/>
              </w:rPr>
              <w:t>2.国债、央票、企业债、金融债、政策性金融债、次级债、二级资本债、永续债、资产支持证券、资产支持票据、地方政府债、中期票据、超短期融资券、短期融资券、公司债、可转债、可交债、非公开定向债务融资工具(PPN)、公募债券型证券投资基金等标准化债权类资产；</w:t>
            </w:r>
          </w:p>
          <w:p>
            <w:pPr>
              <w:keepNext w:val="0"/>
              <w:keepLines w:val="0"/>
              <w:pageBreakBefore w:val="0"/>
              <w:kinsoku/>
              <w:wordWrap/>
              <w:overflowPunct/>
              <w:topLinePunct w:val="0"/>
              <w:autoSpaceDE/>
              <w:autoSpaceDN w:val="0"/>
              <w:bidi w:val="0"/>
              <w:adjustRightInd/>
              <w:snapToGrid/>
              <w:spacing w:line="240" w:lineRule="auto"/>
              <w:textAlignment w:val="auto"/>
              <w:rPr>
                <w:rFonts w:hint="default"/>
                <w:sz w:val="21"/>
                <w:szCs w:val="24"/>
              </w:rPr>
            </w:pPr>
            <w:r>
              <w:rPr>
                <w:rFonts w:hint="eastAsia" w:ascii="方正黑体_GBK" w:hAnsi="方正黑体_GBK" w:eastAsia="方正黑体_GBK" w:cs="宋体"/>
                <w:color w:val="auto"/>
                <w:sz w:val="21"/>
                <w:szCs w:val="21"/>
                <w:lang w:bidi="ar"/>
              </w:rPr>
              <w:t>3.股票、公募混合型或股票型证券投资基金等权益类资产；</w:t>
            </w:r>
          </w:p>
          <w:p>
            <w:pPr>
              <w:keepNext w:val="0"/>
              <w:keepLines w:val="0"/>
              <w:pageBreakBefore w:val="0"/>
              <w:kinsoku/>
              <w:wordWrap/>
              <w:overflowPunct/>
              <w:topLinePunct w:val="0"/>
              <w:autoSpaceDE/>
              <w:autoSpaceDN w:val="0"/>
              <w:bidi w:val="0"/>
              <w:adjustRightInd/>
              <w:snapToGrid/>
              <w:spacing w:line="240" w:lineRule="auto"/>
              <w:textAlignment w:val="auto"/>
              <w:rPr>
                <w:rFonts w:hint="default"/>
                <w:sz w:val="21"/>
                <w:szCs w:val="24"/>
              </w:rPr>
            </w:pPr>
            <w:r>
              <w:rPr>
                <w:rFonts w:hint="eastAsia" w:ascii="方正黑体_GBK" w:hAnsi="方正黑体_GBK" w:eastAsia="方正黑体_GBK" w:cs="宋体"/>
                <w:color w:val="auto"/>
                <w:sz w:val="21"/>
                <w:szCs w:val="21"/>
                <w:lang w:bidi="ar"/>
              </w:rPr>
              <w:t>4.公开募集基础设施证券投资基金等符合监管要求的公募证券投资基金；</w:t>
            </w:r>
          </w:p>
          <w:p>
            <w:pPr>
              <w:keepNext w:val="0"/>
              <w:keepLines w:val="0"/>
              <w:pageBreakBefore w:val="0"/>
              <w:kinsoku/>
              <w:wordWrap/>
              <w:overflowPunct/>
              <w:topLinePunct w:val="0"/>
              <w:autoSpaceDE/>
              <w:autoSpaceDN w:val="0"/>
              <w:bidi w:val="0"/>
              <w:adjustRightInd/>
              <w:snapToGrid/>
              <w:spacing w:line="240" w:lineRule="auto"/>
              <w:textAlignment w:val="auto"/>
              <w:rPr>
                <w:rFonts w:hint="default"/>
                <w:sz w:val="21"/>
                <w:szCs w:val="24"/>
              </w:rPr>
            </w:pPr>
            <w:r>
              <w:rPr>
                <w:rFonts w:hint="eastAsia" w:ascii="方正黑体_GBK" w:hAnsi="方正黑体_GBK" w:eastAsia="方正黑体_GBK" w:cs="宋体"/>
                <w:color w:val="auto"/>
                <w:sz w:val="21"/>
                <w:szCs w:val="21"/>
                <w:lang w:bidi="ar"/>
              </w:rPr>
              <w:t>5.投资范围为上述资产的信托计划、资产管理计划等资产管理产品；</w:t>
            </w:r>
          </w:p>
          <w:p>
            <w:pPr>
              <w:keepNext w:val="0"/>
              <w:keepLines w:val="0"/>
              <w:pageBreakBefore w:val="0"/>
              <w:kinsoku/>
              <w:wordWrap/>
              <w:overflowPunct/>
              <w:topLinePunct w:val="0"/>
              <w:autoSpaceDE/>
              <w:autoSpaceDN w:val="0"/>
              <w:bidi w:val="0"/>
              <w:adjustRightInd/>
              <w:snapToGrid/>
              <w:spacing w:line="240" w:lineRule="auto"/>
              <w:textAlignment w:val="auto"/>
              <w:rPr>
                <w:rFonts w:hint="default"/>
                <w:sz w:val="21"/>
                <w:szCs w:val="24"/>
              </w:rPr>
            </w:pPr>
            <w:r>
              <w:rPr>
                <w:rFonts w:hint="eastAsia" w:ascii="方正黑体_GBK" w:hAnsi="方正黑体_GBK" w:eastAsia="方正黑体_GBK" w:cs="宋体"/>
                <w:color w:val="auto"/>
                <w:sz w:val="21"/>
                <w:szCs w:val="21"/>
                <w:lang w:bidi="ar"/>
              </w:rPr>
              <w:t>6.法律法规或监管机构允许投资的符合本理财产品投资性质的其他金融工具。</w:t>
            </w:r>
          </w:p>
          <w:p>
            <w:pPr>
              <w:keepNext w:val="0"/>
              <w:keepLines w:val="0"/>
              <w:pageBreakBefore w:val="0"/>
              <w:widowControl/>
              <w:kinsoku/>
              <w:wordWrap/>
              <w:overflowPunct/>
              <w:topLinePunct w:val="0"/>
              <w:autoSpaceDE/>
              <w:bidi w:val="0"/>
              <w:adjustRightInd/>
              <w:snapToGrid/>
              <w:spacing w:line="240" w:lineRule="auto"/>
              <w:jc w:val="center"/>
              <w:textAlignment w:val="auto"/>
              <w:rPr>
                <w:rFonts w:hint="eastAsia" w:ascii="方正黑体_GBK" w:hAnsi="方正黑体_GBK" w:eastAsia="方正黑体_GBK" w:cs="方正黑体_GBK"/>
                <w:kern w:val="2"/>
                <w:sz w:val="21"/>
                <w:szCs w:val="21"/>
                <w:lang w:val="en-US" w:eastAsia="zh-CN" w:bidi="ar-SA"/>
              </w:rPr>
            </w:pPr>
          </w:p>
        </w:tc>
        <w:tc>
          <w:tcPr>
            <w:tcW w:w="754" w:type="pct"/>
            <w:vAlign w:val="center"/>
          </w:tcPr>
          <w:p>
            <w:pPr>
              <w:widowControl/>
              <w:spacing w:beforeLines="0" w:afterLines="0"/>
              <w:jc w:val="center"/>
              <w:rPr>
                <w:rFonts w:hint="eastAsia" w:ascii="方正黑体_GBK" w:hAnsi="方正黑体_GBK" w:eastAsia="方正黑体_GBK" w:cs="方正黑体_GBK"/>
                <w:kern w:val="2"/>
                <w:sz w:val="21"/>
                <w:szCs w:val="21"/>
                <w:lang w:val="en-US" w:eastAsia="zh-CN" w:bidi="ar-SA"/>
              </w:rPr>
            </w:pPr>
            <w:r>
              <w:rPr>
                <w:rFonts w:hint="eastAsia" w:ascii="方正黑体_GBK" w:hAnsi="方正黑体_GBK" w:eastAsia="方正黑体_GBK" w:cs="方正黑体_GBK"/>
                <w:sz w:val="21"/>
                <w:szCs w:val="21"/>
              </w:rPr>
              <w:t>2026年</w:t>
            </w:r>
            <w:r>
              <w:rPr>
                <w:rFonts w:hint="eastAsia" w:ascii="方正黑体_GBK" w:hAnsi="方正黑体_GBK" w:eastAsia="方正黑体_GBK" w:cs="方正黑体_GBK"/>
                <w:sz w:val="21"/>
                <w:szCs w:val="21"/>
                <w:lang w:val="en-US" w:eastAsia="zh-CN"/>
              </w:rPr>
              <w:t>10</w:t>
            </w:r>
            <w:r>
              <w:rPr>
                <w:rFonts w:hint="eastAsia" w:ascii="方正黑体_GBK" w:hAnsi="方正黑体_GBK" w:eastAsia="方正黑体_GBK" w:cs="方正黑体_GBK"/>
                <w:sz w:val="21"/>
                <w:szCs w:val="21"/>
              </w:rPr>
              <w:t>月</w:t>
            </w:r>
            <w:r>
              <w:rPr>
                <w:rFonts w:hint="eastAsia" w:ascii="方正黑体_GBK" w:hAnsi="方正黑体_GBK" w:eastAsia="方正黑体_GBK" w:cs="方正黑体_GBK"/>
                <w:sz w:val="21"/>
                <w:szCs w:val="21"/>
                <w:lang w:val="en-US" w:eastAsia="zh-CN"/>
              </w:rPr>
              <w:t>9</w:t>
            </w:r>
            <w:r>
              <w:rPr>
                <w:rFonts w:hint="eastAsia" w:ascii="方正黑体_GBK" w:hAnsi="方正黑体_GBK" w:eastAsia="方正黑体_GBK" w:cs="方正黑体_GBK"/>
                <w:sz w:val="21"/>
                <w:szCs w:val="21"/>
              </w:rPr>
              <w:t>日</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0" w:type="pct"/>
            <w:vAlign w:val="center"/>
          </w:tcPr>
          <w:p>
            <w:pPr>
              <w:spacing w:beforeLines="0" w:afterLines="0"/>
              <w:jc w:val="center"/>
              <w:rPr>
                <w:rFonts w:hint="default" w:ascii="方正黑体_GBK" w:hAnsi="方正黑体_GBK" w:eastAsia="方正黑体_GBK" w:cs="方正黑体_GBK"/>
                <w:kern w:val="2"/>
                <w:sz w:val="21"/>
                <w:szCs w:val="21"/>
                <w:lang w:val="en-US" w:eastAsia="zh-CN" w:bidi="ar-SA"/>
              </w:rPr>
            </w:pPr>
            <w:r>
              <w:rPr>
                <w:rFonts w:hint="eastAsia" w:ascii="方正黑体_GBK" w:hAnsi="方正黑体_GBK" w:eastAsia="方正黑体_GBK" w:cs="方正黑体_GBK"/>
                <w:sz w:val="21"/>
                <w:szCs w:val="21"/>
              </w:rPr>
              <w:t>Z100</w:t>
            </w:r>
            <w:r>
              <w:rPr>
                <w:rFonts w:hint="eastAsia" w:ascii="方正黑体_GBK" w:hAnsi="方正黑体_GBK" w:eastAsia="方正黑体_GBK" w:cs="方正黑体_GBK"/>
                <w:sz w:val="21"/>
                <w:szCs w:val="21"/>
                <w:lang w:val="en-US" w:eastAsia="zh-CN"/>
              </w:rPr>
              <w:t>40</w:t>
            </w:r>
          </w:p>
        </w:tc>
        <w:tc>
          <w:tcPr>
            <w:tcW w:w="686" w:type="pct"/>
            <w:vAlign w:val="center"/>
          </w:tcPr>
          <w:p>
            <w:pPr>
              <w:spacing w:beforeLines="0" w:afterLines="0"/>
              <w:jc w:val="center"/>
              <w:rPr>
                <w:rFonts w:hint="eastAsia" w:ascii="方正黑体_GBK" w:hAnsi="方正黑体_GBK" w:eastAsia="方正黑体_GBK" w:cs="方正黑体_GBK"/>
                <w:kern w:val="2"/>
                <w:sz w:val="21"/>
                <w:szCs w:val="21"/>
                <w:lang w:val="en-US" w:eastAsia="zh-CN" w:bidi="ar-SA"/>
              </w:rPr>
            </w:pPr>
            <w:r>
              <w:rPr>
                <w:rFonts w:hint="eastAsia" w:ascii="方正黑体_GBK" w:hAnsi="方正黑体_GBK" w:eastAsia="方正黑体_GBK" w:cs="方正黑体_GBK"/>
                <w:sz w:val="21"/>
                <w:szCs w:val="21"/>
              </w:rPr>
              <w:t>投资比例</w:t>
            </w:r>
          </w:p>
        </w:tc>
        <w:tc>
          <w:tcPr>
            <w:tcW w:w="1583" w:type="pct"/>
            <w:vAlign w:val="center"/>
          </w:tcPr>
          <w:p>
            <w:pPr>
              <w:spacing w:beforeLines="0" w:afterLines="0"/>
              <w:rPr>
                <w:rFonts w:hint="eastAsia" w:ascii="方正黑体_GBK" w:hAnsi="方正黑体_GBK" w:eastAsia="方正黑体_GBK" w:cs="方正黑体_GBK"/>
                <w:kern w:val="2"/>
                <w:sz w:val="21"/>
                <w:szCs w:val="21"/>
                <w:lang w:val="en-US" w:eastAsia="zh-CN" w:bidi="ar-SA"/>
              </w:rPr>
            </w:pPr>
            <w:r>
              <w:rPr>
                <w:rFonts w:hint="eastAsia" w:ascii="方正黑体_GBK" w:hAnsi="方正黑体_GBK" w:eastAsia="方正黑体_GBK" w:cs="宋体"/>
                <w:sz w:val="21"/>
                <w:szCs w:val="21"/>
              </w:rPr>
              <w:t>本理财产品投资于固定收益类资产的比例不低于80%,投资于非标准化债权类资产的比例不高于50%。</w:t>
            </w:r>
          </w:p>
        </w:tc>
        <w:tc>
          <w:tcPr>
            <w:tcW w:w="1414" w:type="pct"/>
            <w:vAlign w:val="center"/>
          </w:tcPr>
          <w:p>
            <w:pPr>
              <w:autoSpaceDN w:val="0"/>
              <w:spacing w:beforeLines="0" w:afterLines="0"/>
              <w:rPr>
                <w:rFonts w:hint="eastAsia" w:ascii="方正黑体_GBK" w:hAnsi="方正黑体_GBK" w:eastAsia="方正黑体_GBK" w:cs="方正黑体_GBK"/>
                <w:kern w:val="2"/>
                <w:sz w:val="21"/>
                <w:szCs w:val="21"/>
                <w:lang w:val="en-US" w:eastAsia="zh-CN" w:bidi="ar-SA"/>
              </w:rPr>
            </w:pPr>
            <w:r>
              <w:rPr>
                <w:rFonts w:hint="eastAsia" w:ascii="方正黑体_GBK" w:hAnsi="方正黑体_GBK" w:eastAsia="方正黑体_GBK" w:cs="宋体"/>
                <w:color w:val="auto"/>
                <w:sz w:val="21"/>
                <w:szCs w:val="21"/>
                <w:lang w:bidi="ar"/>
              </w:rPr>
              <w:t>本理财产品投资于固定收益类资产的比例不低于80%,投资于权益类资产的比例不高于20%。</w:t>
            </w:r>
          </w:p>
        </w:tc>
        <w:tc>
          <w:tcPr>
            <w:tcW w:w="754" w:type="pct"/>
            <w:vAlign w:val="center"/>
          </w:tcPr>
          <w:p>
            <w:pPr>
              <w:widowControl/>
              <w:spacing w:beforeLines="0" w:afterLines="0"/>
              <w:jc w:val="center"/>
              <w:rPr>
                <w:rFonts w:hint="eastAsia" w:ascii="方正黑体_GBK" w:hAnsi="方正黑体_GBK" w:eastAsia="方正黑体_GBK" w:cs="方正黑体_GBK"/>
                <w:kern w:val="2"/>
                <w:sz w:val="21"/>
                <w:szCs w:val="21"/>
                <w:lang w:val="en-US" w:eastAsia="zh-CN" w:bidi="ar-SA"/>
              </w:rPr>
            </w:pPr>
            <w:r>
              <w:rPr>
                <w:rFonts w:hint="eastAsia" w:ascii="方正黑体_GBK" w:hAnsi="方正黑体_GBK" w:eastAsia="方正黑体_GBK" w:cs="方正黑体_GBK"/>
                <w:sz w:val="21"/>
                <w:szCs w:val="21"/>
              </w:rPr>
              <w:t>2026年</w:t>
            </w:r>
            <w:r>
              <w:rPr>
                <w:rFonts w:hint="eastAsia" w:ascii="方正黑体_GBK" w:hAnsi="方正黑体_GBK" w:eastAsia="方正黑体_GBK" w:cs="方正黑体_GBK"/>
                <w:sz w:val="21"/>
                <w:szCs w:val="21"/>
                <w:lang w:val="en-US" w:eastAsia="zh-CN"/>
              </w:rPr>
              <w:t>10</w:t>
            </w:r>
            <w:r>
              <w:rPr>
                <w:rFonts w:hint="eastAsia" w:ascii="方正黑体_GBK" w:hAnsi="方正黑体_GBK" w:eastAsia="方正黑体_GBK" w:cs="方正黑体_GBK"/>
                <w:sz w:val="21"/>
                <w:szCs w:val="21"/>
              </w:rPr>
              <w:t>月</w:t>
            </w:r>
            <w:r>
              <w:rPr>
                <w:rFonts w:hint="eastAsia" w:ascii="方正黑体_GBK" w:hAnsi="方正黑体_GBK" w:eastAsia="方正黑体_GBK" w:cs="方正黑体_GBK"/>
                <w:sz w:val="21"/>
                <w:szCs w:val="21"/>
                <w:lang w:val="en-US" w:eastAsia="zh-CN"/>
              </w:rPr>
              <w:t>9</w:t>
            </w:r>
            <w:r>
              <w:rPr>
                <w:rFonts w:hint="eastAsia" w:ascii="方正黑体_GBK" w:hAnsi="方正黑体_GBK" w:eastAsia="方正黑体_GBK" w:cs="方正黑体_GBK"/>
                <w:sz w:val="21"/>
                <w:szCs w:val="21"/>
              </w:rPr>
              <w:t>日</w:t>
            </w:r>
          </w:p>
        </w:tc>
      </w:tr>
    </w:tbl>
    <w:p>
      <w:pPr>
        <w:autoSpaceDE w:val="0"/>
        <w:autoSpaceDN w:val="0"/>
        <w:adjustRightInd w:val="0"/>
        <w:spacing w:line="360" w:lineRule="auto"/>
        <w:ind w:firstLine="480" w:firstLineChars="200"/>
        <w:rPr>
          <w:rFonts w:hint="eastAsia" w:ascii="方正黑体_GBK" w:hAnsi="方正黑体_GBK" w:eastAsia="方正黑体_GBK" w:cs="方正黑体_GBK"/>
          <w:color w:val="000000"/>
          <w:kern w:val="0"/>
          <w:sz w:val="24"/>
        </w:rPr>
      </w:pPr>
      <w:r>
        <w:rPr>
          <w:rFonts w:hint="eastAsia" w:ascii="方正黑体_GBK" w:hAnsi="方正黑体_GBK" w:eastAsia="方正黑体_GBK" w:cs="方正黑体_GBK"/>
          <w:color w:val="000000"/>
          <w:kern w:val="0"/>
          <w:sz w:val="24"/>
        </w:rPr>
        <w:t>如您不同意上述调整，可于20</w:t>
      </w:r>
      <w:r>
        <w:rPr>
          <w:rFonts w:hint="eastAsia" w:ascii="方正黑体_GBK" w:hAnsi="方正黑体_GBK" w:eastAsia="方正黑体_GBK" w:cs="方正黑体_GBK"/>
          <w:color w:val="000000"/>
          <w:kern w:val="0"/>
          <w:sz w:val="24"/>
          <w:lang w:val="en-US" w:eastAsia="zh-CN"/>
        </w:rPr>
        <w:t>26</w:t>
      </w:r>
      <w:r>
        <w:rPr>
          <w:rFonts w:hint="eastAsia" w:ascii="方正黑体_GBK" w:hAnsi="方正黑体_GBK" w:eastAsia="方正黑体_GBK" w:cs="方正黑体_GBK"/>
          <w:color w:val="000000"/>
          <w:kern w:val="0"/>
          <w:sz w:val="24"/>
        </w:rPr>
        <w:t>年</w:t>
      </w:r>
      <w:r>
        <w:rPr>
          <w:rFonts w:hint="eastAsia" w:ascii="方正黑体_GBK" w:hAnsi="方正黑体_GBK" w:eastAsia="方正黑体_GBK" w:cs="方正黑体_GBK"/>
          <w:color w:val="000000"/>
          <w:kern w:val="0"/>
          <w:sz w:val="24"/>
          <w:lang w:val="en-US" w:eastAsia="zh-CN"/>
        </w:rPr>
        <w:t>9</w:t>
      </w:r>
      <w:r>
        <w:rPr>
          <w:rFonts w:hint="eastAsia" w:ascii="方正黑体_GBK" w:hAnsi="方正黑体_GBK" w:eastAsia="方正黑体_GBK" w:cs="方正黑体_GBK"/>
          <w:color w:val="000000"/>
          <w:kern w:val="0"/>
          <w:sz w:val="24"/>
        </w:rPr>
        <w:t>月</w:t>
      </w:r>
      <w:r>
        <w:rPr>
          <w:rFonts w:hint="eastAsia" w:ascii="方正黑体_GBK" w:hAnsi="方正黑体_GBK" w:eastAsia="方正黑体_GBK" w:cs="方正黑体_GBK"/>
          <w:color w:val="000000"/>
          <w:kern w:val="0"/>
          <w:sz w:val="24"/>
          <w:lang w:val="en-US" w:eastAsia="zh-CN"/>
        </w:rPr>
        <w:t>16</w:t>
      </w:r>
      <w:r>
        <w:rPr>
          <w:rFonts w:hint="eastAsia" w:ascii="方正黑体_GBK" w:hAnsi="方正黑体_GBK" w:eastAsia="方正黑体_GBK" w:cs="方正黑体_GBK"/>
          <w:color w:val="000000"/>
          <w:kern w:val="0"/>
          <w:sz w:val="24"/>
        </w:rPr>
        <w:t>日至20</w:t>
      </w:r>
      <w:r>
        <w:rPr>
          <w:rFonts w:hint="eastAsia" w:ascii="方正黑体_GBK" w:hAnsi="方正黑体_GBK" w:eastAsia="方正黑体_GBK" w:cs="方正黑体_GBK"/>
          <w:color w:val="000000"/>
          <w:kern w:val="0"/>
          <w:sz w:val="24"/>
          <w:lang w:val="en-US" w:eastAsia="zh-CN"/>
        </w:rPr>
        <w:t>26</w:t>
      </w:r>
      <w:r>
        <w:rPr>
          <w:rFonts w:hint="eastAsia" w:ascii="方正黑体_GBK" w:hAnsi="方正黑体_GBK" w:eastAsia="方正黑体_GBK" w:cs="方正黑体_GBK"/>
          <w:color w:val="000000"/>
          <w:kern w:val="0"/>
          <w:sz w:val="24"/>
        </w:rPr>
        <w:t>年</w:t>
      </w:r>
      <w:r>
        <w:rPr>
          <w:rFonts w:hint="eastAsia" w:ascii="方正黑体_GBK" w:hAnsi="方正黑体_GBK" w:eastAsia="方正黑体_GBK" w:cs="方正黑体_GBK"/>
          <w:color w:val="000000"/>
          <w:kern w:val="0"/>
          <w:sz w:val="24"/>
          <w:lang w:val="en-US" w:eastAsia="zh-CN"/>
        </w:rPr>
        <w:t>9</w:t>
      </w:r>
      <w:r>
        <w:rPr>
          <w:rFonts w:hint="eastAsia" w:ascii="方正黑体_GBK" w:hAnsi="方正黑体_GBK" w:eastAsia="方正黑体_GBK" w:cs="方正黑体_GBK"/>
          <w:color w:val="000000"/>
          <w:kern w:val="0"/>
          <w:sz w:val="24"/>
        </w:rPr>
        <w:t>月</w:t>
      </w:r>
      <w:r>
        <w:rPr>
          <w:rFonts w:hint="eastAsia" w:ascii="方正黑体_GBK" w:hAnsi="方正黑体_GBK" w:eastAsia="方正黑体_GBK" w:cs="方正黑体_GBK"/>
          <w:color w:val="000000"/>
          <w:kern w:val="0"/>
          <w:sz w:val="24"/>
          <w:lang w:val="en-US" w:eastAsia="zh-CN"/>
        </w:rPr>
        <w:t>22</w:t>
      </w:r>
      <w:r>
        <w:rPr>
          <w:rFonts w:hint="eastAsia" w:ascii="方正黑体_GBK" w:hAnsi="方正黑体_GBK" w:eastAsia="方正黑体_GBK" w:cs="方正黑体_GBK"/>
          <w:color w:val="000000"/>
          <w:kern w:val="0"/>
          <w:sz w:val="24"/>
        </w:rPr>
        <w:t>日（产品申购/赎回开放期期间）通过销售机构向管理人申请赎回。</w:t>
      </w:r>
    </w:p>
    <w:p>
      <w:pPr>
        <w:autoSpaceDE w:val="0"/>
        <w:autoSpaceDN w:val="0"/>
        <w:adjustRightInd w:val="0"/>
        <w:spacing w:line="360" w:lineRule="auto"/>
        <w:ind w:firstLine="480" w:firstLineChars="200"/>
        <w:rPr>
          <w:rFonts w:hint="eastAsia" w:ascii="方正黑体_GBK" w:hAnsi="方正黑体_GBK" w:eastAsia="方正黑体_GBK" w:cs="方正黑体_GBK"/>
          <w:color w:val="000000"/>
          <w:kern w:val="0"/>
          <w:sz w:val="24"/>
        </w:rPr>
      </w:pPr>
      <w:r>
        <w:rPr>
          <w:rFonts w:hint="eastAsia" w:ascii="方正黑体_GBK" w:hAnsi="方正黑体_GBK" w:eastAsia="方正黑体_GBK" w:cs="方正黑体_GBK"/>
          <w:color w:val="000000"/>
          <w:kern w:val="0"/>
          <w:sz w:val="24"/>
        </w:rPr>
        <w:t>上述调整事项以本次公告为准，本产品其他信息仍以销售文件约定为准。如后续管理人更新销售文件，您可通过约定的信息披露渠道查询更新后的销售文件及公告。</w:t>
      </w:r>
    </w:p>
    <w:p>
      <w:pPr>
        <w:ind w:firstLine="480" w:firstLineChars="200"/>
        <w:rPr>
          <w:rFonts w:hint="eastAsia" w:ascii="方正黑体_GBK" w:hAnsi="方正黑体_GBK" w:eastAsia="方正黑体_GBK" w:cs="方正黑体_GBK"/>
        </w:rPr>
      </w:pPr>
      <w:r>
        <w:rPr>
          <w:rFonts w:hint="eastAsia" w:ascii="方正黑体_GBK" w:hAnsi="方正黑体_GBK" w:eastAsia="方正黑体_GBK" w:cs="方正黑体_GBK"/>
          <w:color w:val="000000"/>
          <w:kern w:val="0"/>
          <w:sz w:val="24"/>
        </w:rPr>
        <w:t>特此公告。</w:t>
      </w:r>
    </w:p>
    <w:p>
      <w:pPr>
        <w:spacing w:after="0" w:line="560" w:lineRule="exact"/>
        <w:ind w:firstLine="420"/>
        <w:jc w:val="right"/>
        <w:rPr>
          <w:rFonts w:ascii="方正黑体_GBK" w:hAnsi="方正黑体_GBK" w:eastAsia="方正黑体_GBK" w:cs="方正黑体_GBK"/>
          <w:lang w:eastAsia="zh-CN"/>
        </w:rPr>
      </w:pPr>
      <w:r>
        <w:rPr>
          <w:rFonts w:hint="eastAsia" w:ascii="方正黑体_GBK" w:hAnsi="方正黑体_GBK" w:eastAsia="方正黑体_GBK" w:cs="方正黑体_GBK"/>
          <w:sz w:val="24"/>
        </w:rPr>
        <w:t xml:space="preserve">     </w:t>
      </w:r>
      <w:r>
        <w:rPr>
          <w:rFonts w:hint="eastAsia" w:ascii="方正黑体_GBK" w:hAnsi="方正黑体_GBK" w:eastAsia="方正黑体_GBK" w:cs="方正黑体_GBK"/>
          <w:lang w:eastAsia="zh-CN"/>
        </w:rPr>
        <w:t>南银理财有限责任公司</w:t>
      </w:r>
      <w:r>
        <w:rPr>
          <w:rFonts w:hint="eastAsia" w:ascii="方正黑体_GBK" w:hAnsi="方正黑体_GBK" w:eastAsia="方正黑体_GBK" w:cs="方正黑体_GBK"/>
          <w:lang w:eastAsia="zh-CN"/>
        </w:rPr>
        <w:br w:type="textWrapping"/>
      </w:r>
      <w:r>
        <w:rPr>
          <w:rFonts w:ascii="方正黑体_GBK" w:hAnsi="方正黑体_GBK" w:eastAsia="方正黑体_GBK" w:cs="方正黑体_GBK"/>
          <w:lang w:eastAsia="zh-CN"/>
        </w:rPr>
        <w:t>2026</w:t>
      </w:r>
      <w:r>
        <w:rPr>
          <w:rFonts w:hint="eastAsia" w:ascii="方正黑体_GBK" w:hAnsi="方正黑体_GBK" w:eastAsia="方正黑体_GBK" w:cs="方正黑体_GBK"/>
          <w:lang w:eastAsia="zh-CN"/>
        </w:rPr>
        <w:t>年</w:t>
      </w:r>
      <w:r>
        <w:rPr>
          <w:rFonts w:hint="eastAsia" w:ascii="方正黑体_GBK" w:hAnsi="方正黑体_GBK" w:eastAsia="方正黑体_GBK" w:cs="方正黑体_GBK"/>
          <w:lang w:val="en-US" w:eastAsia="zh-CN"/>
        </w:rPr>
        <w:t>9</w:t>
      </w:r>
      <w:r>
        <w:rPr>
          <w:rFonts w:hint="eastAsia" w:ascii="方正黑体_GBK" w:hAnsi="方正黑体_GBK" w:eastAsia="方正黑体_GBK" w:cs="方正黑体_GBK"/>
          <w:lang w:eastAsia="zh-CN"/>
        </w:rPr>
        <w:t>月</w:t>
      </w:r>
      <w:r>
        <w:rPr>
          <w:rFonts w:hint="eastAsia" w:ascii="方正黑体_GBK" w:hAnsi="方正黑体_GBK" w:eastAsia="方正黑体_GBK" w:cs="方正黑体_GBK"/>
          <w:lang w:val="en-US" w:eastAsia="zh-CN"/>
        </w:rPr>
        <w:t>18</w:t>
      </w:r>
      <w:r>
        <w:rPr>
          <w:rFonts w:hint="eastAsia" w:ascii="方正黑体_GBK" w:hAnsi="方正黑体_GBK" w:eastAsia="方正黑体_GBK" w:cs="方正黑体_GBK"/>
          <w:lang w:eastAsia="zh-CN"/>
        </w:rPr>
        <w:t>日</w:t>
      </w:r>
    </w:p>
    <w:p>
      <w:pPr>
        <w:jc w:val="right"/>
        <w:rPr>
          <w:rFonts w:hint="eastAsia" w:ascii="方正黑体_GBK" w:hAnsi="方正黑体_GBK" w:eastAsia="方正黑体_GBK" w:cs="方正黑体_GBK"/>
        </w:rPr>
      </w:pPr>
    </w:p>
    <w:p>
      <w:pPr>
        <w:rPr>
          <w:rFonts w:hint="eastAsia" w:ascii="方正黑体_GBK" w:hAnsi="方正黑体_GBK" w:eastAsia="方正黑体_GBK" w:cs="方正黑体_GBK"/>
        </w:rPr>
      </w:pPr>
    </w:p>
    <w:p>
      <w:pPr>
        <w:rPr>
          <w:rFonts w:hint="eastAsia" w:ascii="方正黑体_GBK" w:hAnsi="方正黑体_GBK" w:eastAsia="方正黑体_GBK" w:cs="方正黑体_GBK"/>
        </w:rPr>
      </w:pPr>
    </w:p>
    <w:p>
      <w:pPr>
        <w:rPr>
          <w:rFonts w:hint="eastAsia" w:ascii="方正黑体_GBK" w:hAnsi="方正黑体_GBK" w:eastAsia="方正黑体_GBK" w:cs="方正黑体_GBK"/>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39211E8"/>
    <w:rsid w:val="272530A3"/>
    <w:rsid w:val="2D003FD0"/>
    <w:rsid w:val="3A3B2638"/>
    <w:rsid w:val="3CAC4C50"/>
    <w:rsid w:val="64B630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5">
    <w:name w:val="Default Paragraph Font1b76f4aa1b76f4aa"/>
    <w:basedOn w:val="4"/>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Njcb</Company>
  <Pages>1</Pages>
  <Words>0</Words>
  <Characters>0</Characters>
  <Lines>0</Lines>
  <Paragraphs>0</Paragraphs>
  <TotalTime>2</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2026-09-01T09:41:00Z</dcterms:created>
  <dc:creator>PC</dc:creator>
  <cp:lastModifiedBy>PC</cp:lastModifiedBy>
  <dcterms:modified xsi:type="dcterms:W3CDTF">2026-09-14T08:51:04Z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365C40FC65944AAF9BCBAAA748A99BD3</vt:lpwstr>
  </property>
</Properties>
</file>