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黑体_GBK" w:hAnsi="方正黑体_GBK" w:eastAsia="方正黑体_GBK" w:cs="方正黑体_GBK"/>
          <w:sz w:val="30"/>
          <w:szCs w:val="30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关于南银理财鼎瑞行稳一年定开2024第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4</w:t>
      </w:r>
      <w:r>
        <w:rPr>
          <w:rFonts w:hint="eastAsia" w:ascii="方正黑体_GBK" w:hAnsi="方正黑体_GBK" w:eastAsia="方正黑体_GBK" w:cs="方正黑体_GBK"/>
          <w:sz w:val="30"/>
          <w:szCs w:val="30"/>
        </w:rPr>
        <w:t>期公募人民币理财产品实施阶段性费率优惠的公告</w:t>
      </w:r>
    </w:p>
    <w:p>
      <w:pPr>
        <w:snapToGrid w:val="0"/>
        <w:spacing w:before="156" w:beforeLines="50" w:after="156" w:afterLines="50" w:line="360" w:lineRule="auto"/>
        <w:rPr>
          <w:rFonts w:hint="eastAsia" w:ascii="方正黑体_GBK" w:hAnsi="方正黑体_GBK" w:eastAsia="方正黑体_GBK" w:cs="方正黑体_GBK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6" w:beforeLines="50" w:after="156" w:afterLines="50" w:line="360" w:lineRule="auto"/>
        <w:ind w:firstLine="480" w:firstLineChars="200"/>
        <w:textAlignment w:val="auto"/>
        <w:rPr>
          <w:rFonts w:hint="eastAsia" w:ascii="方正黑体_GBK" w:hAnsi="方正黑体_GBK" w:eastAsia="方正黑体_GBK" w:cs="方正黑体_GBK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南银理财鼎瑞行稳一年定开2024第</w:t>
      </w:r>
      <w:r>
        <w:rPr>
          <w:rFonts w:hint="eastAsia" w:ascii="方正黑体_GBK" w:hAnsi="方正黑体_GBK" w:eastAsia="方正黑体_GBK" w:cs="方正黑体_GBK"/>
          <w:sz w:val="24"/>
          <w:lang w:val="en-US" w:eastAsia="zh-CN"/>
        </w:rPr>
        <w:t>4</w:t>
      </w:r>
      <w:r>
        <w:rPr>
          <w:rFonts w:hint="eastAsia" w:ascii="方正黑体_GBK" w:hAnsi="方正黑体_GBK" w:eastAsia="方正黑体_GBK" w:cs="方正黑体_GBK"/>
          <w:sz w:val="24"/>
        </w:rPr>
        <w:t>期公募人民币理财产品（产品登记编码：</w:t>
      </w:r>
      <w:r>
        <w:rPr>
          <w:rFonts w:hint="eastAsia" w:ascii="方正黑体_GBK" w:hAnsi="方正黑体_GBK" w:eastAsia="方正黑体_GBK" w:cs="方正黑体_GBK"/>
          <w:sz w:val="24"/>
          <w:lang w:val="en-US" w:eastAsia="zh-CN"/>
        </w:rPr>
        <w:t>Z7003224000184</w:t>
      </w:r>
      <w:r>
        <w:rPr>
          <w:rFonts w:hint="eastAsia" w:ascii="方正黑体_GBK" w:hAnsi="方正黑体_GBK" w:eastAsia="方正黑体_GBK" w:cs="方正黑体_GBK"/>
          <w:sz w:val="24"/>
        </w:rPr>
        <w:t>；产品代码：</w:t>
      </w:r>
      <w:r>
        <w:rPr>
          <w:rFonts w:hint="eastAsia" w:ascii="方正黑体_GBK" w:hAnsi="方正黑体_GBK" w:eastAsia="方正黑体_GBK" w:cs="方正黑体_GBK"/>
          <w:sz w:val="24"/>
          <w:lang w:val="en-US" w:eastAsia="zh-CN"/>
        </w:rPr>
        <w:t>ZZ700322400388</w:t>
      </w:r>
      <w:r>
        <w:rPr>
          <w:rFonts w:hint="eastAsia" w:ascii="方正黑体_GBK" w:hAnsi="方正黑体_GBK" w:eastAsia="方正黑体_GBK" w:cs="方正黑体_GBK"/>
          <w:sz w:val="24"/>
        </w:rPr>
        <w:t>）将实施阶段性费率优惠，具体内容如下：</w:t>
      </w:r>
    </w:p>
    <w:tbl>
      <w:tblPr>
        <w:tblStyle w:val="2"/>
        <w:tblW w:w="502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66"/>
        <w:gridCol w:w="1269"/>
        <w:gridCol w:w="1468"/>
        <w:gridCol w:w="1468"/>
        <w:gridCol w:w="1498"/>
        <w:gridCol w:w="1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8" w:type="pct"/>
            <w:vAlign w:val="center"/>
          </w:tcPr>
          <w:p>
            <w:pPr>
              <w:autoSpaceDE w:val="0"/>
              <w:autoSpaceDN w:val="0"/>
              <w:snapToGrid w:val="0"/>
              <w:spacing w:before="156" w:beforeLines="50" w:after="156" w:afterLines="50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  <w:t>份额代码</w:t>
            </w:r>
          </w:p>
        </w:tc>
        <w:tc>
          <w:tcPr>
            <w:tcW w:w="759" w:type="pct"/>
            <w:vAlign w:val="center"/>
          </w:tcPr>
          <w:p>
            <w:pPr>
              <w:autoSpaceDE w:val="0"/>
              <w:autoSpaceDN w:val="0"/>
              <w:snapToGrid w:val="0"/>
              <w:spacing w:before="156" w:beforeLines="50" w:after="156" w:afterLines="50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  <w:t>费用类别</w:t>
            </w:r>
          </w:p>
        </w:tc>
        <w:tc>
          <w:tcPr>
            <w:tcW w:w="878" w:type="pct"/>
            <w:vAlign w:val="center"/>
          </w:tcPr>
          <w:p>
            <w:pPr>
              <w:autoSpaceDE w:val="0"/>
              <w:autoSpaceDN w:val="0"/>
              <w:snapToGrid w:val="0"/>
              <w:spacing w:before="156" w:beforeLines="50" w:after="156" w:afterLines="50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  <w:t>销售文件约定费率</w:t>
            </w:r>
          </w:p>
        </w:tc>
        <w:tc>
          <w:tcPr>
            <w:tcW w:w="878" w:type="pct"/>
            <w:vAlign w:val="center"/>
          </w:tcPr>
          <w:p>
            <w:pPr>
              <w:autoSpaceDE w:val="0"/>
              <w:autoSpaceDN w:val="0"/>
              <w:snapToGrid w:val="0"/>
              <w:spacing w:before="156" w:beforeLines="50" w:after="156" w:afterLines="50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  <w:t>优惠后费率</w:t>
            </w:r>
          </w:p>
        </w:tc>
        <w:tc>
          <w:tcPr>
            <w:tcW w:w="896" w:type="pct"/>
            <w:vAlign w:val="center"/>
          </w:tcPr>
          <w:p>
            <w:pPr>
              <w:autoSpaceDE w:val="0"/>
              <w:autoSpaceDN w:val="0"/>
              <w:snapToGrid w:val="0"/>
              <w:spacing w:before="156" w:beforeLines="50" w:after="156" w:afterLines="50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  <w:t>优惠生效日期（含）</w:t>
            </w:r>
          </w:p>
        </w:tc>
        <w:tc>
          <w:tcPr>
            <w:tcW w:w="827" w:type="pct"/>
            <w:vAlign w:val="center"/>
          </w:tcPr>
          <w:p>
            <w:pPr>
              <w:autoSpaceDE w:val="0"/>
              <w:autoSpaceDN w:val="0"/>
              <w:snapToGrid w:val="0"/>
              <w:spacing w:before="156" w:beforeLines="50" w:after="156" w:afterLines="50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4"/>
              </w:rPr>
              <w:t>优惠截止日期（含）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  <w:jc w:val="center"/>
        </w:trPr>
        <w:tc>
          <w:tcPr>
            <w:tcW w:w="758" w:type="pct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方正黑体_GBK" w:hAnsi="方正黑体_GBK" w:eastAsia="方正黑体_GBK" w:cs="方正黑体_GBK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0"/>
                <w:szCs w:val="22"/>
                <w:lang w:eastAsia="zh-CN"/>
              </w:rPr>
              <w:t>Z100</w:t>
            </w:r>
            <w:r>
              <w:rPr>
                <w:rFonts w:hint="eastAsia" w:ascii="方正黑体_GBK" w:hAnsi="方正黑体_GBK" w:eastAsia="方正黑体_GBK" w:cs="方正黑体_GBK"/>
                <w:sz w:val="20"/>
                <w:szCs w:val="22"/>
                <w:lang w:val="en-US" w:eastAsia="zh-CN"/>
              </w:rPr>
              <w:t>40</w:t>
            </w:r>
          </w:p>
        </w:tc>
        <w:tc>
          <w:tcPr>
            <w:tcW w:w="759" w:type="pct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0"/>
                <w:szCs w:val="22"/>
                <w:lang w:eastAsia="zh-CN"/>
              </w:rPr>
              <w:t>固定管理费</w:t>
            </w:r>
          </w:p>
        </w:tc>
        <w:tc>
          <w:tcPr>
            <w:tcW w:w="878" w:type="pct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0"/>
                <w:szCs w:val="22"/>
                <w:lang w:eastAsia="zh-CN"/>
              </w:rPr>
              <w:t>0.50%/年</w:t>
            </w:r>
          </w:p>
        </w:tc>
        <w:tc>
          <w:tcPr>
            <w:tcW w:w="878" w:type="pct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0"/>
                <w:szCs w:val="22"/>
                <w:lang w:eastAsia="zh-CN"/>
              </w:rPr>
              <w:t>0.</w:t>
            </w:r>
            <w:r>
              <w:rPr>
                <w:rFonts w:hint="eastAsia" w:ascii="方正黑体_GBK" w:hAnsi="方正黑体_GBK" w:eastAsia="方正黑体_GBK" w:cs="方正黑体_GBK"/>
                <w:sz w:val="20"/>
                <w:szCs w:val="22"/>
                <w:lang w:val="en-US" w:eastAsia="zh-CN"/>
              </w:rPr>
              <w:t>30</w:t>
            </w:r>
            <w:r>
              <w:rPr>
                <w:rFonts w:hint="eastAsia" w:ascii="方正黑体_GBK" w:hAnsi="方正黑体_GBK" w:eastAsia="方正黑体_GBK" w:cs="方正黑体_GBK"/>
                <w:sz w:val="20"/>
                <w:szCs w:val="22"/>
                <w:lang w:eastAsia="zh-CN"/>
              </w:rPr>
              <w:t>%/年</w:t>
            </w:r>
          </w:p>
        </w:tc>
        <w:tc>
          <w:tcPr>
            <w:tcW w:w="896" w:type="pct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方正黑体_GBK" w:hAnsi="方正黑体_GBK" w:eastAsia="方正黑体_GBK" w:cs="方正黑体_GBK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0"/>
                <w:szCs w:val="22"/>
                <w:lang w:eastAsia="zh-CN"/>
              </w:rPr>
              <w:t>2026-</w:t>
            </w:r>
            <w:r>
              <w:rPr>
                <w:rFonts w:hint="eastAsia" w:ascii="方正黑体_GBK" w:hAnsi="方正黑体_GBK" w:eastAsia="方正黑体_GBK" w:cs="方正黑体_GBK"/>
                <w:sz w:val="20"/>
                <w:szCs w:val="22"/>
                <w:lang w:val="en-US" w:eastAsia="zh-CN"/>
              </w:rPr>
              <w:t>10</w:t>
            </w:r>
            <w:r>
              <w:rPr>
                <w:rFonts w:hint="eastAsia" w:ascii="方正黑体_GBK" w:hAnsi="方正黑体_GBK" w:eastAsia="方正黑体_GBK" w:cs="方正黑体_GBK"/>
                <w:sz w:val="20"/>
                <w:szCs w:val="22"/>
                <w:lang w:eastAsia="zh-CN"/>
              </w:rPr>
              <w:t>-</w:t>
            </w:r>
            <w:r>
              <w:rPr>
                <w:rFonts w:hint="eastAsia" w:ascii="方正黑体_GBK" w:hAnsi="方正黑体_GBK" w:eastAsia="方正黑体_GBK" w:cs="方正黑体_GBK"/>
                <w:sz w:val="20"/>
                <w:szCs w:val="22"/>
                <w:lang w:val="en-US" w:eastAsia="zh-CN"/>
              </w:rPr>
              <w:t>09</w:t>
            </w:r>
          </w:p>
        </w:tc>
        <w:tc>
          <w:tcPr>
            <w:tcW w:w="827" w:type="pct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0"/>
                <w:szCs w:val="22"/>
                <w:lang w:eastAsia="zh-CN"/>
              </w:rPr>
              <w:t>另行公告</w:t>
            </w:r>
          </w:p>
        </w:tc>
      </w:tr>
    </w:tbl>
    <w:p>
      <w:pPr>
        <w:autoSpaceDE w:val="0"/>
        <w:autoSpaceDN w:val="0"/>
        <w:snapToGrid w:val="0"/>
        <w:spacing w:before="156" w:beforeLines="50" w:after="156" w:afterLines="50" w:line="360" w:lineRule="auto"/>
        <w:ind w:firstLine="480" w:firstLineChars="200"/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后续若有调整，请以最新公告为准。</w:t>
      </w:r>
    </w:p>
    <w:p>
      <w:pPr>
        <w:autoSpaceDE w:val="0"/>
        <w:autoSpaceDN w:val="0"/>
        <w:snapToGrid w:val="0"/>
        <w:spacing w:before="156" w:beforeLines="50" w:after="156" w:afterLines="50" w:line="360" w:lineRule="auto"/>
        <w:ind w:firstLine="480" w:firstLineChars="200"/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上述调整事项以本次公告为准，本产品其他信息仍以销售文件约定为准。如后续管理人更新销售文件，您可通过约定的信息披露渠道查询更新后的销售文件及公告。</w:t>
      </w:r>
    </w:p>
    <w:p>
      <w:pPr>
        <w:autoSpaceDE w:val="0"/>
        <w:autoSpaceDN w:val="0"/>
        <w:snapToGrid w:val="0"/>
        <w:spacing w:before="156" w:beforeLines="50" w:after="156" w:afterLines="50" w:line="360" w:lineRule="auto"/>
        <w:ind w:firstLine="480" w:firstLineChars="200"/>
        <w:jc w:val="left"/>
        <w:rPr>
          <w:rFonts w:hint="eastAsia" w:ascii="方正黑体_GBK" w:hAnsi="方正黑体_GBK" w:eastAsia="方正黑体_GBK" w:cs="方正黑体_GBK"/>
          <w:color w:val="000000"/>
          <w:kern w:val="0"/>
          <w:sz w:val="24"/>
          <w:u w:val="single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 xml:space="preserve">特此公告。  </w:t>
      </w:r>
    </w:p>
    <w:p>
      <w:pPr>
        <w:spacing w:after="0" w:line="560" w:lineRule="exact"/>
        <w:ind w:firstLine="420"/>
        <w:jc w:val="right"/>
        <w:rPr>
          <w:rFonts w:ascii="方正黑体_GBK" w:hAnsi="方正黑体_GBK" w:eastAsia="方正黑体_GBK" w:cs="方正黑体_GBK"/>
          <w:lang w:eastAsia="zh-CN"/>
        </w:rPr>
      </w:pPr>
      <w:r>
        <w:rPr>
          <w:rFonts w:hint="eastAsia" w:ascii="方正黑体_GBK" w:hAnsi="方正黑体_GBK" w:eastAsia="方正黑体_GBK" w:cs="方正黑体_GBK"/>
          <w:lang w:eastAsia="zh-CN"/>
        </w:rPr>
        <w:t>南银理财有限责任公司</w:t>
      </w:r>
      <w:r>
        <w:rPr>
          <w:rFonts w:hint="eastAsia" w:ascii="方正黑体_GBK" w:hAnsi="方正黑体_GBK" w:eastAsia="方正黑体_GBK" w:cs="方正黑体_GBK"/>
          <w:lang w:eastAsia="zh-CN"/>
        </w:rPr>
        <w:br w:type="textWrapping"/>
      </w:r>
      <w:r>
        <w:rPr>
          <w:rFonts w:ascii="方正黑体_GBK" w:hAnsi="方正黑体_GBK" w:eastAsia="方正黑体_GBK" w:cs="方正黑体_GBK"/>
          <w:lang w:eastAsia="zh-CN"/>
        </w:rPr>
        <w:t>2026</w:t>
      </w:r>
      <w:r>
        <w:rPr>
          <w:rFonts w:hint="eastAsia" w:ascii="方正黑体_GBK" w:hAnsi="方正黑体_GBK" w:eastAsia="方正黑体_GBK" w:cs="方正黑体_GBK"/>
          <w:lang w:eastAsia="zh-CN"/>
        </w:rPr>
        <w:t>年</w:t>
      </w:r>
      <w:r>
        <w:rPr>
          <w:rFonts w:hint="eastAsia" w:ascii="方正黑体_GBK" w:hAnsi="方正黑体_GBK" w:eastAsia="方正黑体_GBK" w:cs="方正黑体_GBK"/>
          <w:lang w:val="en-US" w:eastAsia="zh-CN"/>
        </w:rPr>
        <w:t>9</w:t>
      </w:r>
      <w:r>
        <w:rPr>
          <w:rFonts w:hint="eastAsia" w:ascii="方正黑体_GBK" w:hAnsi="方正黑体_GBK" w:eastAsia="方正黑体_GBK" w:cs="方正黑体_GBK"/>
          <w:lang w:eastAsia="zh-CN"/>
        </w:rPr>
        <w:t>月</w:t>
      </w:r>
      <w:r>
        <w:rPr>
          <w:rFonts w:hint="eastAsia" w:ascii="方正黑体_GBK" w:hAnsi="方正黑体_GBK" w:eastAsia="方正黑体_GBK" w:cs="方正黑体_GBK"/>
          <w:lang w:val="en-US" w:eastAsia="zh-CN"/>
        </w:rPr>
        <w:t>18</w:t>
      </w:r>
      <w:bookmarkStart w:id="0" w:name="_GoBack"/>
      <w:bookmarkEnd w:id="0"/>
      <w:r>
        <w:rPr>
          <w:rFonts w:hint="eastAsia" w:ascii="方正黑体_GBK" w:hAnsi="方正黑体_GBK" w:eastAsia="方正黑体_GBK" w:cs="方正黑体_GBK"/>
          <w:lang w:eastAsia="zh-CN"/>
        </w:rPr>
        <w:t>日</w:t>
      </w:r>
    </w:p>
    <w:p>
      <w:pPr>
        <w:autoSpaceDE w:val="0"/>
        <w:autoSpaceDN w:val="0"/>
        <w:snapToGrid w:val="0"/>
        <w:spacing w:before="156" w:beforeLines="50" w:after="156" w:afterLines="50" w:line="360" w:lineRule="auto"/>
        <w:ind w:firstLine="480" w:firstLineChars="200"/>
        <w:jc w:val="right"/>
        <w:rPr>
          <w:rFonts w:hint="eastAsia" w:ascii="方正黑体_GBK" w:hAnsi="方正黑体_GBK" w:eastAsia="方正黑体_GBK" w:cs="方正黑体_GBK"/>
          <w:color w:val="000000"/>
          <w:kern w:val="0"/>
          <w:sz w:val="24"/>
          <w:u w:val="singl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7935A5"/>
    <w:rsid w:val="027935A5"/>
    <w:rsid w:val="1C444E0E"/>
    <w:rsid w:val="2D624208"/>
    <w:rsid w:val="36625EF3"/>
    <w:rsid w:val="6D29047C"/>
    <w:rsid w:val="7B43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Default Paragraph Font52d516b952d516b9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Njcb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2026-09-01T09:55:00Z</dcterms:created>
  <dc:creator>PC</dc:creator>
  <cp:lastModifiedBy>PC</cp:lastModifiedBy>
  <dcterms:modified xsi:type="dcterms:W3CDTF">2026-09-14T08:48:22Z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BD9A682FE9B14E38968BB7944500EC98</vt:lpwstr>
  </property>
</Properties>
</file>